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86E76" w14:textId="03ABF419" w:rsidR="00C8454D" w:rsidRPr="00C8454D" w:rsidRDefault="0079253F" w:rsidP="00C8454D">
      <w:pPr>
        <w:contextualSpacing/>
        <w:rPr>
          <w:rFonts w:ascii="Times New Roman" w:hAnsi="Times New Roman" w:cs="Times New Roman"/>
          <w:b/>
          <w:kern w:val="2"/>
          <w:sz w:val="28"/>
          <w:szCs w:val="28"/>
          <w:lang w:val="kk-KZ"/>
          <w14:ligatures w14:val="standardContextual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4 </w:t>
      </w:r>
      <w:r w:rsidRPr="00C8454D">
        <w:rPr>
          <w:rFonts w:ascii="Times New Roman" w:hAnsi="Times New Roman" w:cs="Times New Roman"/>
          <w:sz w:val="28"/>
          <w:szCs w:val="28"/>
          <w:lang w:val="kk-KZ"/>
        </w:rPr>
        <w:t xml:space="preserve">Дәріс – </w:t>
      </w:r>
      <w:r w:rsidR="00C8454D" w:rsidRPr="00C8454D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</w:t>
      </w:r>
      <w:r w:rsidR="004A711A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Тұрақты дамудағы </w:t>
      </w:r>
      <w:r w:rsidR="00C8454D" w:rsidRPr="00C8454D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БҰҰ гендерлік теңдікті дамытудағы маңызы</w:t>
      </w:r>
    </w:p>
    <w:p w14:paraId="088763B9" w14:textId="29332F1E" w:rsidR="0079253F" w:rsidRPr="00C8454D" w:rsidRDefault="0079253F" w:rsidP="0079253F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D09773D" w14:textId="77777777" w:rsidR="0079253F" w:rsidRPr="00C8454D" w:rsidRDefault="0079253F" w:rsidP="00792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454D">
        <w:rPr>
          <w:rFonts w:ascii="Times New Roman" w:hAnsi="Times New Roman" w:cs="Times New Roman"/>
          <w:sz w:val="28"/>
          <w:szCs w:val="28"/>
          <w:lang w:val="kk-KZ"/>
        </w:rPr>
        <w:t>Сұрақтар:</w:t>
      </w:r>
    </w:p>
    <w:p w14:paraId="226E3BE2" w14:textId="6836B105" w:rsidR="00C8454D" w:rsidRPr="00C8454D" w:rsidRDefault="0079253F" w:rsidP="00C8454D">
      <w:pPr>
        <w:contextualSpacing/>
        <w:rPr>
          <w:rFonts w:ascii="Times New Roman" w:hAnsi="Times New Roman" w:cs="Times New Roman"/>
          <w:b/>
          <w:kern w:val="2"/>
          <w:sz w:val="28"/>
          <w:szCs w:val="28"/>
          <w:lang w:val="kk-KZ"/>
          <w14:ligatures w14:val="standardContextual"/>
        </w:rPr>
      </w:pPr>
      <w:r w:rsidRPr="00C8454D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845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8454D" w:rsidRPr="00C8454D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 БҰҰ гендерлік теңдікті дамытудағы маңызы</w:t>
      </w:r>
    </w:p>
    <w:p w14:paraId="7926F9BC" w14:textId="52C2E823" w:rsidR="0079253F" w:rsidRPr="00C8454D" w:rsidRDefault="0079253F" w:rsidP="00792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454D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Hlk218349867"/>
      <w:r w:rsidRPr="00C8454D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C845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C8454D" w:rsidRPr="00C8454D">
        <w:rPr>
          <w:rFonts w:ascii="Times New Roman" w:hAnsi="Times New Roman" w:cs="Times New Roman"/>
          <w:bCs/>
          <w:sz w:val="28"/>
          <w:szCs w:val="28"/>
          <w:lang w:val="kk-KZ"/>
        </w:rPr>
        <w:t>Гендерлік теңдікті дамытудағы инновацияның маңызы</w:t>
      </w:r>
      <w:bookmarkEnd w:id="0"/>
    </w:p>
    <w:p w14:paraId="437B6CB1" w14:textId="5901AE56" w:rsidR="0079253F" w:rsidRPr="00C8454D" w:rsidRDefault="0079253F" w:rsidP="0079253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8454D">
        <w:rPr>
          <w:rFonts w:ascii="Times New Roman" w:hAnsi="Times New Roman" w:cs="Times New Roman"/>
          <w:color w:val="0070C0"/>
          <w:sz w:val="28"/>
          <w:szCs w:val="28"/>
          <w:lang w:val="kk-KZ"/>
        </w:rPr>
        <w:t>Дәрістің мақсаты</w:t>
      </w:r>
      <w:r w:rsidRPr="00C8454D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C845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магистранттарға </w:t>
      </w:r>
      <w:r w:rsidR="00C8454D" w:rsidRPr="00C8454D">
        <w:rPr>
          <w:rFonts w:ascii="Times New Roman" w:hAnsi="Times New Roman" w:cs="Times New Roman"/>
          <w:kern w:val="2"/>
          <w:sz w:val="28"/>
          <w:szCs w:val="28"/>
          <w:lang w:val="kk-KZ"/>
          <w14:ligatures w14:val="standardContextual"/>
        </w:rPr>
        <w:t>БҰҰ гендерлік теңдікті дамытудағы маңызы</w:t>
      </w:r>
      <w:r w:rsidR="00C8454D" w:rsidRPr="00C8454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8454D">
        <w:rPr>
          <w:rFonts w:ascii="Times New Roman" w:hAnsi="Times New Roman" w:cs="Times New Roman"/>
          <w:bCs/>
          <w:sz w:val="28"/>
          <w:szCs w:val="28"/>
          <w:lang w:val="kk-KZ"/>
        </w:rPr>
        <w:t>жүйелі жан-жақты түсіндіру</w:t>
      </w:r>
    </w:p>
    <w:p w14:paraId="71710963" w14:textId="77777777" w:rsidR="001632AF" w:rsidRDefault="001632AF">
      <w:pPr>
        <w:rPr>
          <w:lang w:val="kk-KZ"/>
        </w:rPr>
      </w:pPr>
    </w:p>
    <w:p w14:paraId="1121DEBC" w14:textId="77777777" w:rsidR="00D1070F" w:rsidRPr="00D1070F" w:rsidRDefault="00D1070F" w:rsidP="00D1070F">
      <w:pPr>
        <w:spacing w:after="195" w:line="240" w:lineRule="auto"/>
        <w:outlineLvl w:val="2"/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</w:pPr>
      <w:r w:rsidRPr="00D1070F">
        <w:rPr>
          <w:rFonts w:ascii="Roboto" w:eastAsia="Times New Roman" w:hAnsi="Roboto" w:cs="Times New Roman"/>
          <w:b/>
          <w:bCs/>
          <w:color w:val="212121"/>
          <w:sz w:val="36"/>
          <w:szCs w:val="36"/>
          <w:lang w:val="kk-KZ" w:eastAsia="ru-RU"/>
        </w:rPr>
        <w:t>Мақсат 5: Гендерлік теңдікті қамтамасыз ету және барлық әйелдер мен қыздардың құқықтары мен мүмкіндіктерін кеңейту</w:t>
      </w:r>
    </w:p>
    <w:p w14:paraId="5B6A7EE1" w14:textId="77777777" w:rsidR="00D1070F" w:rsidRPr="00D1070F" w:rsidRDefault="00D1070F" w:rsidP="00D1070F">
      <w:pPr>
        <w:spacing w:before="450" w:after="195" w:line="240" w:lineRule="auto"/>
        <w:outlineLvl w:val="3"/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</w:pPr>
      <w:proofErr w:type="spellStart"/>
      <w:r w:rsidRPr="00D1070F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Тапсырмалар</w:t>
      </w:r>
      <w:proofErr w:type="spellEnd"/>
      <w:r w:rsidRPr="00D1070F">
        <w:rPr>
          <w:rFonts w:ascii="Roboto" w:eastAsia="Times New Roman" w:hAnsi="Roboto" w:cs="Times New Roman"/>
          <w:b/>
          <w:bCs/>
          <w:color w:val="212121"/>
          <w:sz w:val="27"/>
          <w:szCs w:val="27"/>
          <w:lang w:eastAsia="ru-RU"/>
        </w:rPr>
        <w:t>:</w:t>
      </w:r>
    </w:p>
    <w:p w14:paraId="1F925A80" w14:textId="77777777" w:rsidR="00D1070F" w:rsidRPr="00D1070F" w:rsidRDefault="00D1070F" w:rsidP="00D1070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қыздарға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қатысты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кемсітушіліктің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нысандарын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жаппай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4CA6B565" w14:textId="77777777" w:rsidR="00D1070F" w:rsidRPr="00D1070F" w:rsidRDefault="00D1070F" w:rsidP="00D1070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қыздарға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қатысты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зорлықты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қоғамдық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жеке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салаларда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атап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айтқанда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адам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саудасы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сексуалды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да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пайдаланудың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нысандарында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289B5D0" w14:textId="77777777" w:rsidR="00D1070F" w:rsidRPr="00D1070F" w:rsidRDefault="00D1070F" w:rsidP="00D1070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Балалық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ерте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мәжбүрлі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некелесу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аналық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жыныс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мүшелеріне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жарымжан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ететін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оталар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жасау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секілді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зақым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келтіретін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тәжірибе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түрлерін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жою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810C966" w14:textId="77777777" w:rsidR="00D1070F" w:rsidRPr="00D1070F" w:rsidRDefault="00D1070F" w:rsidP="00D1070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Коммуналдық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қызметтерді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инфрақұрылымды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әлеуметтік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қорғау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жүйелерін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ұсынумен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жағдайларды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ескере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отырып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шаруашылықты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жүгізудегі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отбасындағы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жауапкершілік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қағидасын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мадақтаумен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үй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шаруасын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жүргізу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күту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төленбейтін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еңбекті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мойындау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әрі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бағалау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70B29EA" w14:textId="77777777" w:rsidR="00D1070F" w:rsidRPr="00D1070F" w:rsidRDefault="00D1070F" w:rsidP="00D1070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Әйелдердің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жақты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шынайы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қатысуын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саяси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экономикалық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қоғамдық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өмірдегі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шешім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қабылдаудың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деңгейіндегі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көшбасшылық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бірдей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мүмкіндікке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болуын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3253EA5F" w14:textId="77777777" w:rsidR="00D1070F" w:rsidRPr="00D1070F" w:rsidRDefault="00D1070F" w:rsidP="00D1070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Сексуалды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өрбіту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денсаулығын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саласында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Халықаралық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конференцияның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Тұрғын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халық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пен даму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іс-әрекеттер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бағдарламасына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Әрекеттердің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Пекиндік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платформасына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оларды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орындау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барысын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қарастыру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бойынша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конференцияның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қорытынды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құжаттарына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өрбіту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құқықтарын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іске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асыруға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жалпыға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ортақ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қолжетімділікпен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қамтамасыз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ету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58531BB9" w14:textId="77777777" w:rsidR="00D1070F" w:rsidRPr="00D1070F" w:rsidRDefault="00D1070F" w:rsidP="00D1070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Әйелдерге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экономикалық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ресурстарға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құқықтарды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сондай-ақ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жерді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да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меншік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түрлерін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иеленуге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басқаруға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қаржылық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қызметтерге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мұраға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қалдырылған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мүлікке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ұлттық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заңдарға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сәйкес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табиғи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ресурстарға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деген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қолжетімділікті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ұсыну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мақсатында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реформалар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жасау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075B608D" w14:textId="77777777" w:rsidR="00D1070F" w:rsidRPr="00D1070F" w:rsidRDefault="00D1070F" w:rsidP="00D1070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Тиімділігі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жоғары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технологияларды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,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негізінен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ақпараттық-коммункациялық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технологияларды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әйелдердің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құқықтарын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мүмкіндіктерін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кеңейтуге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жәрдемдесу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үшін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белсендірек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пайдалану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5793BA9E" w14:textId="77777777" w:rsidR="00D1070F" w:rsidRPr="00D1070F" w:rsidRDefault="00D1070F" w:rsidP="00D1070F">
      <w:pPr>
        <w:numPr>
          <w:ilvl w:val="0"/>
          <w:numId w:val="4"/>
        </w:numPr>
        <w:spacing w:after="0" w:line="240" w:lineRule="auto"/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</w:pP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lastRenderedPageBreak/>
        <w:t>Гендерлік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теңдікті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мадақтау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барлық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әйелдер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қыздардың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құқықтары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мүмкіндіктерін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бүкіл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деңгейлерде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кеңейту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мақсатында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парасатты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стратегиялар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мен міндетті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түрде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сақталуы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тиіс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заңдарды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қабылдау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және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 xml:space="preserve"> </w:t>
      </w:r>
      <w:proofErr w:type="spellStart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жетілдіру</w:t>
      </w:r>
      <w:proofErr w:type="spellEnd"/>
      <w:r w:rsidRPr="00D1070F">
        <w:rPr>
          <w:rFonts w:ascii="Roboto" w:eastAsia="Times New Roman" w:hAnsi="Roboto" w:cs="Times New Roman"/>
          <w:color w:val="212121"/>
          <w:sz w:val="23"/>
          <w:szCs w:val="23"/>
          <w:lang w:eastAsia="ru-RU"/>
        </w:rPr>
        <w:t>.</w:t>
      </w:r>
    </w:p>
    <w:p w14:paraId="6BD685A0" w14:textId="77777777" w:rsidR="001C4157" w:rsidRDefault="001C4157">
      <w:pPr>
        <w:rPr>
          <w:lang w:val="kk-KZ"/>
        </w:rPr>
      </w:pPr>
    </w:p>
    <w:p w14:paraId="4AAB8468" w14:textId="0D49A48C" w:rsidR="00D1070F" w:rsidRDefault="00D1070F">
      <w:pPr>
        <w:rPr>
          <w:lang w:val="kk-KZ"/>
        </w:rPr>
      </w:pPr>
      <w:r>
        <w:rPr>
          <w:noProof/>
        </w:rPr>
        <w:drawing>
          <wp:inline distT="0" distB="0" distL="0" distR="0" wp14:anchorId="5D3A4255" wp14:editId="68468C1D">
            <wp:extent cx="5940425" cy="4199616"/>
            <wp:effectExtent l="0" t="0" r="3175" b="0"/>
            <wp:docPr id="10" name="Рисунок 9" descr="Изображение выглядит как одежда, человек, Человеческое лицо, мальч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 descr="Изображение выглядит как одежда, человек, Человеческое лицо, мальчик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ED784" w14:textId="77777777" w:rsidR="00D1070F" w:rsidRDefault="00D1070F">
      <w:pPr>
        <w:rPr>
          <w:lang w:val="kk-KZ"/>
        </w:rPr>
      </w:pPr>
    </w:p>
    <w:p w14:paraId="7E734D68" w14:textId="77777777" w:rsidR="00D1070F" w:rsidRDefault="00D1070F">
      <w:pPr>
        <w:rPr>
          <w:lang w:val="kk-KZ"/>
        </w:rPr>
      </w:pPr>
    </w:p>
    <w:p w14:paraId="0EE7E1BA" w14:textId="77777777" w:rsidR="00D1070F" w:rsidRDefault="00D1070F">
      <w:pPr>
        <w:rPr>
          <w:lang w:val="kk-KZ"/>
        </w:rPr>
      </w:pPr>
    </w:p>
    <w:p w14:paraId="440F7F6B" w14:textId="77777777" w:rsidR="00D1070F" w:rsidRPr="00D1070F" w:rsidRDefault="00D1070F">
      <w:pPr>
        <w:rPr>
          <w:lang w:val="kk-KZ"/>
        </w:rPr>
      </w:pPr>
    </w:p>
    <w:p w14:paraId="3BA562DE" w14:textId="77777777" w:rsidR="001C4157" w:rsidRDefault="001C4157">
      <w:pPr>
        <w:rPr>
          <w:lang w:val="kk-KZ"/>
        </w:rPr>
      </w:pPr>
    </w:p>
    <w:p w14:paraId="5CC26506" w14:textId="77777777" w:rsidR="001C4157" w:rsidRDefault="001C4157">
      <w:pPr>
        <w:rPr>
          <w:lang w:val="kk-KZ"/>
        </w:rPr>
      </w:pPr>
    </w:p>
    <w:p w14:paraId="08436B9C" w14:textId="77777777" w:rsidR="001C4157" w:rsidRPr="0080216D" w:rsidRDefault="001C4157" w:rsidP="001C415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әдебиеттер:</w:t>
      </w:r>
    </w:p>
    <w:p w14:paraId="1D83FED7" w14:textId="77777777" w:rsidR="001C4157" w:rsidRPr="0080216D" w:rsidRDefault="001C4157" w:rsidP="001C4157">
      <w:pPr>
        <w:spacing w:after="0" w:line="256" w:lineRule="auto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1.Қасым-Жомарт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6BD4364D" w14:textId="77777777" w:rsidR="001C4157" w:rsidRPr="0080216D" w:rsidRDefault="001C4157" w:rsidP="001C415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47340AA7" w14:textId="77777777" w:rsidR="001C4157" w:rsidRPr="0080216D" w:rsidRDefault="001C4157" w:rsidP="001C415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2029 жылға дейінгі Ұлттық даму жоспары//ҚР Президентінің 2024 жылығы 30 шілдедегі №611 Жарлығы</w:t>
      </w:r>
    </w:p>
    <w:p w14:paraId="32898B0D" w14:textId="77777777" w:rsidR="001C4157" w:rsidRPr="0080216D" w:rsidRDefault="001C4157" w:rsidP="001C4157">
      <w:pPr>
        <w:pStyle w:val="a7"/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Бобылев С.Н., Соловьева С.В., Ховавко И.Ю. Основы экономики устойчивого развития - М.: Экономический факультет МГУ имени М. В. Ломоносова, 2025. - 312 c.</w:t>
      </w:r>
    </w:p>
    <w:p w14:paraId="61A83827" w14:textId="77777777" w:rsidR="001C4157" w:rsidRPr="0080216D" w:rsidRDefault="001C4157" w:rsidP="001C415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Ващалова Т.В. Устойчивое развитие-М.: Юрайт, 2021.- 186 с.</w:t>
      </w:r>
    </w:p>
    <w:p w14:paraId="0D7F267C" w14:textId="77777777" w:rsidR="001C4157" w:rsidRPr="0080216D" w:rsidRDefault="001C4157" w:rsidP="001C415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Гаврилов Л.П. Инновационные технологии в коммерции и бизнесе-М.: Юрайт, 2025.-277 с.</w:t>
      </w:r>
    </w:p>
    <w:p w14:paraId="61F40F41" w14:textId="77777777" w:rsidR="001C4157" w:rsidRPr="0080216D" w:rsidRDefault="001C4157" w:rsidP="001C415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Гончаренко Л.П. Инновационная политика -М.: Юрайт, 2025.-248 с.</w:t>
      </w:r>
    </w:p>
    <w:p w14:paraId="6AFA10E5" w14:textId="77777777" w:rsidR="001C4157" w:rsidRPr="0080216D" w:rsidRDefault="001C4157" w:rsidP="001C415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Гурина Е.В., Серченя Т.И.  Экономика инноваций – Минск: БНТУ, 2021.-68 с.</w:t>
      </w:r>
    </w:p>
    <w:p w14:paraId="16670AB1" w14:textId="77777777" w:rsidR="001C4157" w:rsidRPr="0080216D" w:rsidRDefault="001C4157" w:rsidP="001C415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Жатқанбаев Е.Б., Смағұлова Г.С. Экономиканы мемлекеттік реттеу- Алматы: Қазақ университеті, 2023.-284 б.</w:t>
      </w:r>
    </w:p>
    <w:p w14:paraId="0A11F88D" w14:textId="77777777" w:rsidR="001C4157" w:rsidRPr="0080216D" w:rsidRDefault="001C4157" w:rsidP="001C415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Константиниди Х.А., Валитова Л.А., Пахалов А.М. и др. Управление устойчивым развитием-М.: Центркаталог, 2025-266 с.</w:t>
      </w:r>
    </w:p>
    <w:p w14:paraId="6E79014D" w14:textId="77777777" w:rsidR="001C4157" w:rsidRPr="0080216D" w:rsidRDefault="001C4157" w:rsidP="001C415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Назина К.Н., Кокурина Д.И., Агабекова С.И. Инновационная политика-М.: Юрайт, 2025.-232 с.</w:t>
      </w:r>
    </w:p>
    <w:p w14:paraId="3333DD23" w14:textId="77777777" w:rsidR="001C4157" w:rsidRPr="0080216D" w:rsidRDefault="001C4157" w:rsidP="001C415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Оқу бизнес-кейстерінің жинағы -Алматы: Үш қиян, 2025.-436 б.</w:t>
      </w:r>
    </w:p>
    <w:p w14:paraId="67B74C6C" w14:textId="77777777" w:rsidR="001C4157" w:rsidRPr="0080216D" w:rsidRDefault="001C4157" w:rsidP="001C4157">
      <w:pPr>
        <w:pStyle w:val="a7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Панфилова А.П., Киселева Е.С.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Инновационный менеджмент в управлении человеческими ресурсами-М.: Юрайт, 2025. – 313 с. </w:t>
      </w:r>
    </w:p>
    <w:p w14:paraId="7DFBBAB9" w14:textId="77777777" w:rsidR="001C4157" w:rsidRPr="0080216D" w:rsidRDefault="001C4157" w:rsidP="001C415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Санталова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М.С., Сергеева С.А., Гладилина И.П., </w:t>
      </w:r>
      <w:proofErr w:type="spellStart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Соклакова</w:t>
      </w:r>
      <w:proofErr w:type="spellEnd"/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И.В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. 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  <w14:ligatures w14:val="none"/>
        </w:rPr>
        <w:t>Устойчивое развитие и ESG:</w:t>
      </w:r>
      <w:r w:rsidRPr="0080216D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  <w14:ligatures w14:val="none"/>
        </w:rPr>
        <w:t>- М.: Дашков И.К. 2025.-366 с.</w:t>
      </w:r>
    </w:p>
    <w:p w14:paraId="3D375633" w14:textId="77777777" w:rsidR="001C4157" w:rsidRPr="0080216D" w:rsidRDefault="001C4157" w:rsidP="001C415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Сергеева С.А., Гладилина И.П. 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ESG</w:t>
      </w: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– трансформация 2025: вызовы и стратегии устойчивого социально-экономического  развития-М.: Русайнс, 2026.-128 с.</w:t>
      </w:r>
    </w:p>
    <w:p w14:paraId="0EF2BA46" w14:textId="77777777" w:rsidR="001C4157" w:rsidRPr="0080216D" w:rsidRDefault="001C4157" w:rsidP="001C4157">
      <w:pPr>
        <w:pStyle w:val="a7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Шаронов А., Дубовицкая  Е. Устойчивое развитие: как обеспечить рост бизнеса и создовать долгосрочные ценности-М.:  МИФ, 2025.-210 с.</w:t>
      </w:r>
    </w:p>
    <w:p w14:paraId="10E0B772" w14:textId="77777777" w:rsidR="001C4157" w:rsidRPr="0080216D" w:rsidRDefault="001C4157" w:rsidP="001C4157">
      <w:pPr>
        <w:pStyle w:val="a7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Шеве Г., Хюзиг С.,  Гумерова Г.И. и др. Инновационный менеджмент цифровой экономики-М.: КноРус, 2026.-308 с.</w:t>
      </w:r>
    </w:p>
    <w:p w14:paraId="17EA43BE" w14:textId="77777777" w:rsidR="001C4157" w:rsidRPr="0080216D" w:rsidRDefault="001C4157" w:rsidP="001C4157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Қосымша әдебиеттер:</w:t>
      </w:r>
    </w:p>
    <w:p w14:paraId="113593C3" w14:textId="77777777" w:rsidR="001C4157" w:rsidRPr="0080216D" w:rsidRDefault="001C4157" w:rsidP="001C4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4F725B1C" w14:textId="77777777" w:rsidR="001C4157" w:rsidRPr="0080216D" w:rsidRDefault="001C4157" w:rsidP="001C4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11E0EA5" w14:textId="77777777" w:rsidR="001C4157" w:rsidRPr="0080216D" w:rsidRDefault="001C4157" w:rsidP="001C4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3. Стивен П. Роббинс, Тимати А. Джадж </w:t>
      </w:r>
    </w:p>
    <w:p w14:paraId="2924C91A" w14:textId="77777777" w:rsidR="001C4157" w:rsidRPr="0080216D" w:rsidRDefault="001C4157" w:rsidP="001C4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343B959" w14:textId="77777777" w:rsidR="001C4157" w:rsidRPr="0080216D" w:rsidRDefault="001C4157" w:rsidP="001C4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82A4912" w14:textId="77777777" w:rsidR="001C4157" w:rsidRPr="0080216D" w:rsidRDefault="001C4157" w:rsidP="001C4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б.</w:t>
      </w:r>
    </w:p>
    <w:p w14:paraId="69422B27" w14:textId="77777777" w:rsidR="001C4157" w:rsidRPr="0080216D" w:rsidRDefault="001C4157" w:rsidP="001C4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5. О’Лири, Зина. Зерттеу жобасын жүргізу: негізгі нұсқаулық : монография - Алматы: "Ұлттық аударма бюросы" ҚҚ, 2020 - 470 б.</w:t>
      </w:r>
    </w:p>
    <w:p w14:paraId="2A7E726D" w14:textId="77777777" w:rsidR="001C4157" w:rsidRPr="0080216D" w:rsidRDefault="001C4157" w:rsidP="001C415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6. Шваб, Клаус.Төртінші индустриялық революция  = The Fourth Industrial Revolution : [монография] - Астана: "Ұлттық аударма бюросы" ҚҚ, 2018- 198 б.</w:t>
      </w:r>
    </w:p>
    <w:p w14:paraId="4FF891B8" w14:textId="77777777" w:rsidR="001C4157" w:rsidRPr="0080216D" w:rsidRDefault="001C4157" w:rsidP="001C4157">
      <w:pPr>
        <w:shd w:val="clear" w:color="auto" w:fill="FFFFFF"/>
        <w:tabs>
          <w:tab w:val="left" w:pos="0"/>
        </w:tabs>
        <w:spacing w:after="0" w:line="256" w:lineRule="auto"/>
        <w:contextualSpacing/>
        <w:rPr>
          <w:rFonts w:ascii="Times New Roman" w:eastAsia="Times New Roman" w:hAnsi="Times New Roman" w:cs="Times New Roman"/>
          <w:color w:val="000000"/>
          <w:kern w:val="2"/>
          <w:sz w:val="20"/>
          <w:szCs w:val="20"/>
          <w:lang w:val="kk-KZ"/>
          <w14:ligatures w14:val="standardContextual"/>
        </w:rPr>
      </w:pPr>
    </w:p>
    <w:p w14:paraId="0DFB1CAF" w14:textId="77777777" w:rsidR="001C4157" w:rsidRPr="0080216D" w:rsidRDefault="001C4157" w:rsidP="001C4157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 w:rsidRPr="0080216D"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75881B12" w14:textId="77777777" w:rsidR="001C4157" w:rsidRPr="0080216D" w:rsidRDefault="001C4157" w:rsidP="001C415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80216D">
          <w:rPr>
            <w:rStyle w:val="ac"/>
            <w:rFonts w:ascii="Times New Roman" w:hAnsi="Times New Roman" w:cs="Times New Roman"/>
            <w:color w:val="000000" w:themeColor="text1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https://urait.ru/bcode/472536</w:t>
        </w:r>
      </w:hyperlink>
    </w:p>
    <w:p w14:paraId="018375E8" w14:textId="77777777" w:rsidR="001C4157" w:rsidRPr="0080216D" w:rsidRDefault="001C4157" w:rsidP="001C415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>URL</w:t>
      </w: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  <w:t xml:space="preserve">: </w:t>
      </w:r>
      <w:hyperlink r:id="rId7" w:history="1">
        <w:r w:rsidRPr="0080216D">
          <w:rPr>
            <w:rFonts w:ascii="Times New Roman" w:hAnsi="Times New Roman" w:cs="Times New Roman"/>
            <w:color w:val="000000" w:themeColor="text1"/>
            <w:kern w:val="2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  <w14:ligatures w14:val="standardContextual"/>
          </w:rPr>
          <w:t>https://knorus.ru/catalog/ekonomika/514719</w:t>
        </w:r>
      </w:hyperlink>
    </w:p>
    <w:p w14:paraId="2B4EFC35" w14:textId="77777777" w:rsidR="001C4157" w:rsidRPr="0080216D" w:rsidRDefault="001C4157" w:rsidP="001C4157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 w:line="256" w:lineRule="auto"/>
        <w:ind w:left="0" w:firstLine="0"/>
        <w:contextualSpacing/>
        <w:rPr>
          <w:rFonts w:ascii="Times New Roman" w:eastAsia="Times New Roman" w:hAnsi="Times New Roman" w:cs="Times New Roman"/>
          <w:color w:val="000000" w:themeColor="text1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color w:val="000000" w:themeColor="text1"/>
          <w:kern w:val="2"/>
          <w:sz w:val="20"/>
          <w:szCs w:val="20"/>
          <w:lang w:val="en-US"/>
          <w14:ligatures w14:val="standardContextual"/>
        </w:rPr>
        <w:t xml:space="preserve"> 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>URL: https://urait.ru/bcode/565634</w:t>
      </w:r>
    </w:p>
    <w:p w14:paraId="102E3634" w14:textId="77777777" w:rsidR="001C4157" w:rsidRPr="0080216D" w:rsidRDefault="001C4157" w:rsidP="001C4157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>4.</w:t>
      </w:r>
      <w:r w:rsidRPr="0080216D">
        <w:rPr>
          <w:rFonts w:ascii="Times New Roman" w:hAnsi="Times New Roman" w:cs="Times New Roman"/>
          <w:sz w:val="20"/>
          <w:szCs w:val="20"/>
          <w:lang w:val="kk-KZ"/>
        </w:rPr>
        <w:t xml:space="preserve"> URL: https://urait.ru/bcode/569607</w:t>
      </w:r>
    </w:p>
    <w:p w14:paraId="57E229AA" w14:textId="77777777" w:rsidR="001C4157" w:rsidRPr="0080216D" w:rsidRDefault="001C4157" w:rsidP="001C4157">
      <w:pPr>
        <w:shd w:val="clear" w:color="auto" w:fill="FFFFFF"/>
        <w:tabs>
          <w:tab w:val="left" w:pos="0"/>
        </w:tabs>
        <w:spacing w:after="0" w:line="25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</w:pPr>
      <w:r w:rsidRPr="0080216D">
        <w:rPr>
          <w:rFonts w:ascii="Times New Roman" w:eastAsia="Times New Roman" w:hAnsi="Times New Roman" w:cs="Times New Roman"/>
          <w:color w:val="000000"/>
          <w:sz w:val="20"/>
          <w:szCs w:val="20"/>
          <w:lang w:val="kk-KZ"/>
        </w:rPr>
        <w:t xml:space="preserve">5. </w:t>
      </w:r>
      <w:hyperlink r:id="rId8" w:history="1">
        <w:r w:rsidRPr="0080216D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  <w:lang w:val="kk-KZ"/>
          </w:rPr>
          <w:t>https://reader.lanbook.com/book/261191</w:t>
        </w:r>
      </w:hyperlink>
    </w:p>
    <w:p w14:paraId="1A654CDE" w14:textId="77777777" w:rsidR="001C4157" w:rsidRPr="0080216D" w:rsidRDefault="001C4157" w:rsidP="001C415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B42A43C" w14:textId="77777777" w:rsidR="001C4157" w:rsidRPr="0080216D" w:rsidRDefault="001C4157" w:rsidP="001C4157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80216D">
        <w:rPr>
          <w:rFonts w:ascii="Times New Roman" w:hAnsi="Times New Roman" w:cs="Times New Roman"/>
          <w:sz w:val="20"/>
          <w:szCs w:val="20"/>
          <w:lang w:val="kk-KZ"/>
        </w:rPr>
        <w:t>Инфрақұрылым</w:t>
      </w:r>
    </w:p>
    <w:p w14:paraId="06A3657F" w14:textId="77777777" w:rsidR="001C4157" w:rsidRPr="0080216D" w:rsidRDefault="001C4157" w:rsidP="001C4157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Дәріс залы 218</w:t>
      </w:r>
    </w:p>
    <w:p w14:paraId="4579687E" w14:textId="77777777" w:rsidR="001C4157" w:rsidRPr="0080216D" w:rsidRDefault="001C4157" w:rsidP="001C4157">
      <w:pPr>
        <w:numPr>
          <w:ilvl w:val="0"/>
          <w:numId w:val="3"/>
        </w:numPr>
        <w:spacing w:after="0" w:line="256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80216D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Практика 218</w:t>
      </w:r>
    </w:p>
    <w:p w14:paraId="30BE1BF6" w14:textId="77777777" w:rsidR="001C4157" w:rsidRPr="001C4157" w:rsidRDefault="001C4157">
      <w:pPr>
        <w:rPr>
          <w:lang w:val="kk-KZ"/>
        </w:rPr>
      </w:pPr>
    </w:p>
    <w:sectPr w:rsidR="001C4157" w:rsidRPr="001C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C3EB7"/>
    <w:multiLevelType w:val="hybridMultilevel"/>
    <w:tmpl w:val="8F4E4834"/>
    <w:lvl w:ilvl="0" w:tplc="15D27D90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A749D"/>
    <w:multiLevelType w:val="multilevel"/>
    <w:tmpl w:val="FFB2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53F60"/>
    <w:multiLevelType w:val="hybridMultilevel"/>
    <w:tmpl w:val="7D6ACE90"/>
    <w:lvl w:ilvl="0" w:tplc="7E04D8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77691"/>
    <w:multiLevelType w:val="hybridMultilevel"/>
    <w:tmpl w:val="FC66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54562">
    <w:abstractNumId w:val="0"/>
  </w:num>
  <w:num w:numId="2" w16cid:durableId="114063853">
    <w:abstractNumId w:val="2"/>
  </w:num>
  <w:num w:numId="3" w16cid:durableId="1568300104">
    <w:abstractNumId w:val="3"/>
  </w:num>
  <w:num w:numId="4" w16cid:durableId="54902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08"/>
    <w:rsid w:val="001632AF"/>
    <w:rsid w:val="001C4157"/>
    <w:rsid w:val="00310446"/>
    <w:rsid w:val="003A3B86"/>
    <w:rsid w:val="003E6D87"/>
    <w:rsid w:val="004A711A"/>
    <w:rsid w:val="0079253F"/>
    <w:rsid w:val="00813DEF"/>
    <w:rsid w:val="00815008"/>
    <w:rsid w:val="00C8454D"/>
    <w:rsid w:val="00D1070F"/>
    <w:rsid w:val="00EA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AC3F"/>
  <w15:chartTrackingRefBased/>
  <w15:docId w15:val="{D58BA947-691C-4A13-83B8-1105DD426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53F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1C4157"/>
    <w:rPr>
      <w:color w:val="0000FF"/>
      <w:u w:val="single"/>
    </w:rPr>
  </w:style>
  <w:style w:type="table" w:styleId="ad">
    <w:name w:val="Table Grid"/>
    <w:basedOn w:val="a1"/>
    <w:uiPriority w:val="39"/>
    <w:rsid w:val="00C84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ader.lanbook.com/book/26119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rus.ru/catalog/ekonomika/5147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47253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6</cp:revision>
  <dcterms:created xsi:type="dcterms:W3CDTF">2026-01-03T10:39:00Z</dcterms:created>
  <dcterms:modified xsi:type="dcterms:W3CDTF">2026-01-04T13:01:00Z</dcterms:modified>
</cp:coreProperties>
</file>